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08 113 vom 28. Mai 2009</w:t>
      </w:r>
    </w:p>
    <w:p>
      <w:r>
        <w:t>VS Kantonsgericht, 2009-05-28, FR</w:t>
      </w:r>
    </w:p>
    <w:p>
      <w:r>
        <w:rPr>
          <w:b/>
        </w:rPr>
        <w:t xml:space="preserve">Quelle: </w:t>
      </w:r>
      <w:r>
        <w:t>https://mcp.opencaselaw.ch/entscheid/vs_gerichte_C3 08 113</w:t>
      </w:r>
    </w:p>
    <w:p>
      <w:r>
        <w:t>FR: VS_GERICHTE C3 08 113 du 28 mai 2009</w:t>
      </w:r>
    </w:p>
    <w:p>
      <w:r>
        <w:t>IT: VS_GERICHTE C3 08 113 del 28 maggio 2009</w:t>
      </w:r>
    </w:p>
    <w:p>
      <w:pPr>
        <w:pStyle w:val="Heading2"/>
      </w:pPr>
      <w:r>
        <w:t>Regeste</w:t>
      </w:r>
    </w:p>
    <w:p>
      <w:r>
        <w:t>RVJ/ZWR 2010 239 Jurisprudence des cours civiles et pénales du Tribunal cantonal ainsi que des tribunaux de district Rechtsprechung der Zivil- und Strafgerichtsabteilungen des Kantonsgerichts sowie der Bezirksgerichte Zivilprozessrecht Procédure civile Procédure civile - autorité de la chose jugée d’un jugement partiel - ATC (Auto- rité de cassation) du 28 mai 2009, Collectivité publique X. c. dame Y. Autorité de la chose jugée d’un jugement partiel – Le jugement rendu sur une action partielle n’acquiert l’autorité de la chose jugée que pour la partie de la créance qui fait l’objet de la décision, même si l’ensem- ble de la prétention a été examinée pour statuer (consid. 2b). – En l’espèce, rejet de l’exception de chose jugée, la nouvelle action concernant les mêmes actes mais pour des dommages postérieurs à ceux indemnisés dans la première procédure (consid. 2c). Réf. CH: art. 38 aOJ Réf. VS: art. 14 LRCPA, art. 15 LRCPA Rechtskraft eines Teilurteils – Das auf eine Teilklage hin ergangene Urteil wird nur für den Teil der Forderung</w:t>
      </w:r>
    </w:p>
    <w:p>
      <w:pPr>
        <w:pStyle w:val="Heading2"/>
      </w:pPr>
      <w:r>
        <w:t>Erwägungen</w:t>
      </w:r>
    </w:p>
    <w:p>
      <w:r>
        <w:rPr>
          <w:b/>
        </w:rPr>
        <w:t>E. 8</w:t>
      </w:r>
    </w:p>
    <w:p>
      <w:r>
        <w:t>juillet 2002, soit ... fr. pour la perte de gain du 1er septembre 2001 au 31 août 2002, ... fr. à titre de frais d’avocat extrajudiciaires et ... fr. à titre de tort moral. Conformément aux principes susrappelés, l’auto- rité de la chose jugée dont est revêtu ce jugement ne peut dès lors s’at- tacher, s’agissant de la perte de gain, qu’à la créance arrêtée à ce titre pour la période du 1er septembre 2001 au 31 août 2002. Or, au terme de son mémoire-demande du 9 juin 2008, l’intimée prétend au paiement d’un montant en capital de ... fr. pour l’indemnisation de sa perte de gain et de son dommage domestique - passés et futurs - depuis le 1er septembre 2002. Partant, cette nouvelle demande ne se heurte pas à l’autorité de la chose jugée du jugement - partiel - rendu par le Tribu- nal fédéral le 9 mai 2006. Contrairement à ce que soutient la recou- rante, il était parfaitement loisible à dame Y., en vertu de la maxime de disposition, de limiter ses prétentions à la couverture d’une partie de 242 RVJ/ZWR 2010</w:t>
      </w:r>
    </w:p>
    <w:p>
      <w:r>
        <w:t>RVJ/ZWR 2010 243 son préjudice en renonçant, en particulier, à réclamer la réparation de son dommage futur (cf. FF 2006 p. 6900). En application de ce même principe, elle était également libre de ne pas amplifier ses conclusions en cours de procédure et de ne pas se réserver - expressément ou implicitement - le droit d’ouvrir une nouvelle action à l’encontre de la collectivité publique X. à raison des mêmes agissements de A. Dans ces conditions, il est sans importance que l’intimée ait pu avoir connaissance de la péjoration de son état de santé en 2002 déjà. En outre, si la recourante entendait se prémunir contre d’éventuelles futures prétentions de la part de dame Y., il lui eût incombé - comme l’a considéré à juste titre le juge de district - de prendre des conclu- sions en constatation de l’inexistence de la totalité de la créance. Enfin, on ne voit pas que le rejet de l’exception de l’autorité de la chose jugée puisse porter préjudice à la collectivité publique X. Il appartien- dra en particulier à celle-ci d’entreprendre toutes les démarches utiles à la sauvegarde de ses droits à l’encontre de A., notamment en inter- rompant le délai de prescription de l’action récursoire (art. 14 et 15 al. 1 let. b de la loi sur la responsabilité des collectivités publiques et de leurs agents du 10 mai 1978 - LRCPA; RS/VS 170.1).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